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7D" w:rsidRDefault="00E76E7D" w:rsidP="00320EF5">
      <w:pPr>
        <w:pStyle w:val="ParaAttribute0"/>
        <w:spacing w:line="249" w:lineRule="auto"/>
        <w:rPr>
          <w:rFonts w:ascii="Arial" w:eastAsia="Calibri" w:hAnsi="Arial"/>
        </w:rPr>
      </w:pPr>
    </w:p>
    <w:p w:rsidR="00E76E7D" w:rsidRDefault="008C1878" w:rsidP="00320EF5">
      <w:pPr>
        <w:pStyle w:val="ParaAttribute0"/>
        <w:spacing w:line="249" w:lineRule="auto"/>
        <w:rPr>
          <w:rFonts w:ascii="Arial" w:eastAsia="Calibri" w:hAnsi="Arial"/>
        </w:rPr>
      </w:pPr>
      <w:r>
        <w:rPr>
          <w:rStyle w:val="CharAttribute16"/>
          <w:szCs w:val="24"/>
        </w:rPr>
        <w:t>LEP</w:t>
      </w:r>
      <w:r>
        <w:rPr>
          <w:rStyle w:val="CharAttribute0"/>
          <w:szCs w:val="24"/>
        </w:rPr>
        <w:t xml:space="preserve"> </w:t>
      </w:r>
      <w:r>
        <w:rPr>
          <w:rStyle w:val="CharAttribute0"/>
          <w:szCs w:val="24"/>
        </w:rPr>
        <w:t>–</w:t>
      </w:r>
      <w:r>
        <w:rPr>
          <w:rStyle w:val="CharAttribute0"/>
          <w:szCs w:val="24"/>
        </w:rPr>
        <w:t xml:space="preserve"> Sub Committee</w:t>
      </w:r>
    </w:p>
    <w:p w:rsidR="00E76E7D" w:rsidRDefault="00E76E7D" w:rsidP="00320EF5">
      <w:pPr>
        <w:pStyle w:val="ParaAttribute0"/>
        <w:spacing w:line="249" w:lineRule="auto"/>
        <w:rPr>
          <w:rFonts w:ascii="Arial" w:eastAsia="Calibri" w:hAnsi="Arial"/>
        </w:rPr>
      </w:pPr>
    </w:p>
    <w:p w:rsidR="00E76E7D" w:rsidRDefault="008C1878" w:rsidP="00320EF5">
      <w:pPr>
        <w:pStyle w:val="ParaAttribute2"/>
        <w:spacing w:line="249" w:lineRule="auto"/>
        <w:rPr>
          <w:rFonts w:ascii="Arial" w:eastAsia="Times New Roman" w:hAnsi="Arial"/>
        </w:rPr>
      </w:pPr>
      <w:r>
        <w:rPr>
          <w:rStyle w:val="CharAttribute0"/>
          <w:szCs w:val="24"/>
        </w:rPr>
        <w:t>Performance Committee</w:t>
      </w:r>
    </w:p>
    <w:p w:rsidR="00E76E7D" w:rsidRDefault="00E76E7D" w:rsidP="00320EF5">
      <w:pPr>
        <w:pStyle w:val="ParaAttribute3"/>
        <w:spacing w:line="256" w:lineRule="auto"/>
        <w:rPr>
          <w:rFonts w:ascii="Arial" w:eastAsia="Calibri" w:hAnsi="Arial"/>
        </w:rPr>
      </w:pPr>
    </w:p>
    <w:p w:rsidR="00E76E7D" w:rsidRPr="000D69CD" w:rsidRDefault="00144990" w:rsidP="00320EF5">
      <w:pPr>
        <w:pStyle w:val="ParaAttribute3"/>
        <w:spacing w:line="256" w:lineRule="auto"/>
        <w:rPr>
          <w:rFonts w:ascii="Arial" w:eastAsia="Calibri" w:hAnsi="Arial" w:cs="Arial"/>
          <w:sz w:val="24"/>
          <w:szCs w:val="24"/>
        </w:rPr>
      </w:pPr>
      <w:r w:rsidRPr="000D69CD">
        <w:rPr>
          <w:rStyle w:val="CharAttribute0"/>
          <w:rFonts w:hAnsi="Arial" w:cs="Arial"/>
          <w:szCs w:val="24"/>
        </w:rPr>
        <w:t xml:space="preserve">Private and Confidential: </w:t>
      </w:r>
      <w:r w:rsidR="008405A7">
        <w:rPr>
          <w:rStyle w:val="CharAttribute0"/>
          <w:rFonts w:hAnsi="Arial" w:cs="Arial"/>
          <w:szCs w:val="24"/>
        </w:rPr>
        <w:t>No</w:t>
      </w:r>
    </w:p>
    <w:p w:rsidR="000D69CD" w:rsidRDefault="000D69CD" w:rsidP="00320EF5">
      <w:pPr>
        <w:pStyle w:val="ParaAttribute3"/>
        <w:spacing w:line="256" w:lineRule="auto"/>
        <w:rPr>
          <w:rFonts w:ascii="Arial" w:eastAsia="Calibri" w:hAnsi="Arial"/>
        </w:rPr>
      </w:pPr>
    </w:p>
    <w:p w:rsidR="00E76E7D" w:rsidRDefault="008C1878" w:rsidP="00320EF5">
      <w:pPr>
        <w:pStyle w:val="ParaAttribute2"/>
        <w:spacing w:line="249" w:lineRule="auto"/>
        <w:rPr>
          <w:rFonts w:ascii="Arial" w:eastAsia="Calibri" w:hAnsi="Arial"/>
        </w:rPr>
      </w:pPr>
      <w:r w:rsidRPr="008405A7">
        <w:rPr>
          <w:rStyle w:val="CharAttribute1"/>
          <w:b/>
          <w:szCs w:val="24"/>
        </w:rPr>
        <w:t>Date:</w:t>
      </w:r>
      <w:r>
        <w:rPr>
          <w:rStyle w:val="CharAttribute1"/>
          <w:szCs w:val="24"/>
        </w:rPr>
        <w:t xml:space="preserve"> </w:t>
      </w:r>
      <w:r w:rsidR="008405A7">
        <w:rPr>
          <w:rStyle w:val="CharAttribute1"/>
          <w:szCs w:val="24"/>
        </w:rPr>
        <w:t>2</w:t>
      </w:r>
      <w:r w:rsidR="008405A7" w:rsidRPr="008405A7">
        <w:rPr>
          <w:rStyle w:val="CharAttribute1"/>
          <w:szCs w:val="24"/>
          <w:vertAlign w:val="superscript"/>
        </w:rPr>
        <w:t>nd</w:t>
      </w:r>
      <w:r w:rsidR="008405A7">
        <w:rPr>
          <w:rStyle w:val="CharAttribute1"/>
          <w:szCs w:val="24"/>
        </w:rPr>
        <w:t xml:space="preserve"> September 2016</w:t>
      </w:r>
    </w:p>
    <w:p w:rsidR="00E76E7D" w:rsidRPr="000D69CD" w:rsidRDefault="00E76E7D" w:rsidP="00320EF5">
      <w:pPr>
        <w:pStyle w:val="ParaAttribute4"/>
        <w:spacing w:line="249" w:lineRule="auto"/>
        <w:rPr>
          <w:rFonts w:ascii="Arial" w:eastAsia="Calibri" w:hAnsi="Arial" w:cs="Arial"/>
          <w:sz w:val="24"/>
          <w:szCs w:val="24"/>
        </w:rPr>
      </w:pPr>
    </w:p>
    <w:p w:rsidR="00E76E7D" w:rsidRPr="0092133A" w:rsidRDefault="0092133A" w:rsidP="00320EF5">
      <w:pPr>
        <w:pStyle w:val="ParaAttribute2"/>
        <w:spacing w:line="249" w:lineRule="auto"/>
        <w:rPr>
          <w:rFonts w:ascii="Arial" w:eastAsia="Times New Roman" w:hAnsi="Arial" w:cs="Arial"/>
          <w:sz w:val="24"/>
          <w:szCs w:val="24"/>
        </w:rPr>
      </w:pPr>
      <w:r>
        <w:rPr>
          <w:rStyle w:val="CharAttribute0"/>
          <w:rFonts w:hAnsi="Arial" w:cs="Arial"/>
          <w:szCs w:val="24"/>
        </w:rPr>
        <w:t>Monitoring and Evaluation Framework</w:t>
      </w:r>
    </w:p>
    <w:p w:rsidR="000D69CD" w:rsidRDefault="000D69CD" w:rsidP="00320EF5">
      <w:pPr>
        <w:pStyle w:val="ParaAttribute3"/>
        <w:spacing w:line="256" w:lineRule="auto"/>
        <w:rPr>
          <w:rFonts w:ascii="Arial" w:eastAsia="Calibri" w:hAnsi="Arial"/>
        </w:rPr>
      </w:pPr>
    </w:p>
    <w:p w:rsidR="00E76E7D" w:rsidRDefault="008C1878" w:rsidP="00320EF5">
      <w:pPr>
        <w:pStyle w:val="ParaAttribute6"/>
        <w:spacing w:line="249" w:lineRule="auto"/>
        <w:rPr>
          <w:rFonts w:ascii="Arial" w:eastAsia="Times New Roman" w:hAnsi="Arial"/>
        </w:rPr>
      </w:pPr>
      <w:r>
        <w:rPr>
          <w:rStyle w:val="CharAttribute0"/>
          <w:szCs w:val="24"/>
        </w:rPr>
        <w:t xml:space="preserve">Report Author: </w:t>
      </w:r>
      <w:r>
        <w:rPr>
          <w:rStyle w:val="CharAttribute16"/>
          <w:szCs w:val="24"/>
        </w:rPr>
        <w:t>Kathryn</w:t>
      </w:r>
      <w:r>
        <w:rPr>
          <w:rStyle w:val="CharAttribute0"/>
          <w:szCs w:val="24"/>
        </w:rPr>
        <w:t xml:space="preserve"> </w:t>
      </w:r>
      <w:r>
        <w:rPr>
          <w:rStyle w:val="CharAttribute16"/>
          <w:szCs w:val="24"/>
        </w:rPr>
        <w:t>Molloy</w:t>
      </w:r>
      <w:r>
        <w:rPr>
          <w:rStyle w:val="CharAttribute0"/>
          <w:szCs w:val="24"/>
        </w:rPr>
        <w:t xml:space="preserve">, 01772 538790, </w:t>
      </w:r>
      <w:hyperlink r:id="rId7">
        <w:r>
          <w:rPr>
            <w:rStyle w:val="CharAttribute8"/>
            <w:color w:val="0000FF"/>
            <w:szCs w:val="24"/>
            <w:u w:color="0000FF"/>
          </w:rPr>
          <w:t>kathryn.molloy@lancashire.gov.uk</w:t>
        </w:r>
      </w:hyperlink>
      <w:r>
        <w:rPr>
          <w:rStyle w:val="CharAttribute0"/>
          <w:szCs w:val="24"/>
        </w:rPr>
        <w:t xml:space="preserve"> </w:t>
      </w:r>
    </w:p>
    <w:p w:rsidR="00E76E7D" w:rsidRDefault="00E76E7D" w:rsidP="00320EF5">
      <w:pPr>
        <w:pStyle w:val="ParaAttribute2"/>
        <w:spacing w:line="249" w:lineRule="auto"/>
        <w:rPr>
          <w:rFonts w:ascii="Arial" w:eastAsia="Calibri" w:hAnsi="Arial"/>
        </w:rPr>
      </w:pPr>
    </w:p>
    <w:tbl>
      <w:tblPr>
        <w:tblStyle w:val="DefaultTable"/>
        <w:tblW w:w="9180" w:type="auto"/>
        <w:tblInd w:w="60" w:type="dxa"/>
        <w:tblLook w:val="0000" w:firstRow="0" w:lastRow="0" w:firstColumn="0" w:lastColumn="0" w:noHBand="0" w:noVBand="0"/>
      </w:tblPr>
      <w:tblGrid>
        <w:gridCol w:w="8956"/>
      </w:tblGrid>
      <w:tr w:rsidR="00E76E7D">
        <w:tc>
          <w:tcPr>
            <w:tcW w:w="91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76E7D" w:rsidRDefault="00E76E7D" w:rsidP="00320EF5">
            <w:pPr>
              <w:pStyle w:val="ParaAttribute1"/>
              <w:rPr>
                <w:rFonts w:ascii="Arial" w:eastAsia="Calibri" w:hAnsi="Arial"/>
              </w:rPr>
            </w:pPr>
          </w:p>
          <w:p w:rsidR="00E76E7D" w:rsidRDefault="008C1878" w:rsidP="00320EF5">
            <w:pPr>
              <w:pStyle w:val="ParaAttribute7"/>
              <w:spacing w:line="249" w:lineRule="auto"/>
              <w:rPr>
                <w:rFonts w:ascii="Arial" w:eastAsia="Arial" w:hAnsi="Arial"/>
              </w:rPr>
            </w:pPr>
            <w:r>
              <w:rPr>
                <w:rStyle w:val="CharAttribute10"/>
                <w:szCs w:val="24"/>
              </w:rPr>
              <w:t>Executive Summary</w:t>
            </w:r>
          </w:p>
          <w:p w:rsidR="00E76E7D" w:rsidRDefault="00E76E7D" w:rsidP="00320EF5">
            <w:pPr>
              <w:pStyle w:val="ParaAttribute2"/>
              <w:spacing w:line="249" w:lineRule="auto"/>
              <w:rPr>
                <w:rFonts w:ascii="Arial" w:eastAsia="Calibri" w:hAnsi="Arial"/>
              </w:rPr>
            </w:pPr>
          </w:p>
          <w:p w:rsidR="00F136F4" w:rsidRDefault="00F136F4" w:rsidP="00320EF5">
            <w:pPr>
              <w:pStyle w:val="NoSpacing"/>
              <w:jc w:val="left"/>
              <w:rPr>
                <w:rStyle w:val="CharAttribute11"/>
                <w:szCs w:val="24"/>
              </w:rPr>
            </w:pPr>
            <w:r>
              <w:rPr>
                <w:rStyle w:val="CharAttribute11"/>
                <w:szCs w:val="24"/>
              </w:rPr>
              <w:t>This report proposes the development of a Monitoring and Evaluation Framework which will identify</w:t>
            </w:r>
            <w:r w:rsidR="00785B8F">
              <w:rPr>
                <w:rStyle w:val="CharAttribute11"/>
                <w:szCs w:val="24"/>
              </w:rPr>
              <w:t>,</w:t>
            </w:r>
            <w:r>
              <w:rPr>
                <w:rStyle w:val="CharAttribute11"/>
                <w:szCs w:val="24"/>
              </w:rPr>
              <w:t xml:space="preserve"> in a 'dashboard' reporting format</w:t>
            </w:r>
            <w:r w:rsidR="00785B8F">
              <w:rPr>
                <w:rStyle w:val="CharAttribute11"/>
                <w:szCs w:val="24"/>
              </w:rPr>
              <w:t>,</w:t>
            </w:r>
            <w:r>
              <w:rPr>
                <w:rStyle w:val="CharAttribute11"/>
                <w:szCs w:val="24"/>
              </w:rPr>
              <w:t xml:space="preserve"> delivery progress against each of the LEP's key economic initiatives.</w:t>
            </w:r>
          </w:p>
          <w:p w:rsidR="00F136F4" w:rsidRDefault="00F136F4" w:rsidP="00320EF5">
            <w:pPr>
              <w:pStyle w:val="NoSpacing"/>
              <w:jc w:val="left"/>
              <w:rPr>
                <w:rStyle w:val="CharAttribute11"/>
                <w:szCs w:val="24"/>
              </w:rPr>
            </w:pPr>
          </w:p>
          <w:p w:rsidR="00E76E7D" w:rsidRDefault="00F136F4" w:rsidP="00320EF5">
            <w:pPr>
              <w:pStyle w:val="NoSpacing"/>
              <w:jc w:val="left"/>
              <w:rPr>
                <w:rStyle w:val="CharAttribute11"/>
                <w:szCs w:val="24"/>
              </w:rPr>
            </w:pPr>
            <w:r>
              <w:rPr>
                <w:rStyle w:val="CharAttribute11"/>
                <w:szCs w:val="24"/>
              </w:rPr>
              <w:t>The Monitoring and Evaluation Framework will be reviewed at each meeting of the Performance</w:t>
            </w:r>
            <w:r w:rsidR="00785B8F">
              <w:rPr>
                <w:rStyle w:val="CharAttribute11"/>
                <w:szCs w:val="24"/>
              </w:rPr>
              <w:t xml:space="preserve"> Committee</w:t>
            </w:r>
            <w:r>
              <w:rPr>
                <w:rStyle w:val="CharAttribute11"/>
                <w:szCs w:val="24"/>
              </w:rPr>
              <w:t>.</w:t>
            </w:r>
          </w:p>
          <w:p w:rsidR="00F136F4" w:rsidRDefault="00F136F4" w:rsidP="00320EF5">
            <w:pPr>
              <w:pStyle w:val="NoSpacing"/>
              <w:jc w:val="left"/>
              <w:rPr>
                <w:rStyle w:val="CharAttribute11"/>
                <w:szCs w:val="24"/>
              </w:rPr>
            </w:pPr>
          </w:p>
          <w:p w:rsidR="00F136F4" w:rsidRDefault="00F136F4" w:rsidP="00320EF5">
            <w:pPr>
              <w:pStyle w:val="NoSpacing"/>
              <w:jc w:val="left"/>
              <w:rPr>
                <w:rFonts w:hAnsi="Arial"/>
              </w:rPr>
            </w:pPr>
            <w:r>
              <w:rPr>
                <w:rStyle w:val="CharAttribute11"/>
                <w:szCs w:val="24"/>
              </w:rPr>
              <w:t>The report also proposes that future agendas of LEP Board contain standing items which will provide the Board with updates on delivery progress for each of its key economic initiatives. These are considered at this point to be the City Deal Programme, Enterprise Zone Programme, Growth Deal Programme, Boost Business Growth Hub and Growing Places Funding.</w:t>
            </w:r>
          </w:p>
          <w:p w:rsidR="00034AA6" w:rsidRDefault="00034AA6" w:rsidP="00320EF5">
            <w:pPr>
              <w:pStyle w:val="NoSpacing"/>
              <w:jc w:val="left"/>
              <w:rPr>
                <w:rFonts w:hAnsi="Arial"/>
              </w:rPr>
            </w:pPr>
          </w:p>
          <w:p w:rsidR="00E76E7D" w:rsidRDefault="008C1878" w:rsidP="00320EF5">
            <w:pPr>
              <w:pStyle w:val="ParaAttribute7"/>
              <w:spacing w:line="249" w:lineRule="auto"/>
              <w:rPr>
                <w:rFonts w:ascii="Arial" w:eastAsia="Arial" w:hAnsi="Arial"/>
              </w:rPr>
            </w:pPr>
            <w:r>
              <w:rPr>
                <w:rStyle w:val="CharAttribute10"/>
                <w:szCs w:val="24"/>
              </w:rPr>
              <w:t>Recommendation</w:t>
            </w:r>
          </w:p>
          <w:p w:rsidR="00E76E7D" w:rsidRPr="00144990" w:rsidRDefault="00E76E7D" w:rsidP="00320EF5">
            <w:pPr>
              <w:pStyle w:val="ParaAttribute2"/>
              <w:spacing w:line="249" w:lineRule="auto"/>
              <w:rPr>
                <w:rFonts w:ascii="Arial" w:eastAsia="Calibri" w:hAnsi="Arial" w:cs="Arial"/>
                <w:sz w:val="24"/>
                <w:szCs w:val="24"/>
              </w:rPr>
            </w:pPr>
          </w:p>
          <w:p w:rsidR="00144990" w:rsidRDefault="008C1878" w:rsidP="00320EF5">
            <w:pPr>
              <w:pStyle w:val="NoSpacing"/>
              <w:jc w:val="left"/>
              <w:rPr>
                <w:rStyle w:val="CharAttribute11"/>
                <w:rFonts w:hAnsi="Arial" w:cs="Arial"/>
                <w:szCs w:val="24"/>
              </w:rPr>
            </w:pPr>
            <w:r w:rsidRPr="00144990">
              <w:rPr>
                <w:rStyle w:val="CharAttribute11"/>
                <w:rFonts w:hAnsi="Arial" w:cs="Arial"/>
                <w:szCs w:val="24"/>
              </w:rPr>
              <w:t xml:space="preserve">The Performance Committee is </w:t>
            </w:r>
            <w:r w:rsidR="0092133A">
              <w:rPr>
                <w:rStyle w:val="CharAttribute11"/>
                <w:rFonts w:hAnsi="Arial" w:cs="Arial"/>
                <w:szCs w:val="24"/>
              </w:rPr>
              <w:t>asked to</w:t>
            </w:r>
            <w:r w:rsidR="00F136F4">
              <w:rPr>
                <w:rStyle w:val="CharAttribute11"/>
                <w:rFonts w:hAnsi="Arial" w:cs="Arial"/>
                <w:szCs w:val="24"/>
              </w:rPr>
              <w:t>:</w:t>
            </w:r>
          </w:p>
          <w:p w:rsidR="00F136F4" w:rsidRDefault="00F136F4" w:rsidP="00320EF5">
            <w:pPr>
              <w:pStyle w:val="NoSpacing"/>
              <w:jc w:val="left"/>
              <w:rPr>
                <w:rStyle w:val="CharAttribute11"/>
                <w:rFonts w:hAnsi="Arial" w:cs="Arial"/>
                <w:szCs w:val="24"/>
              </w:rPr>
            </w:pPr>
          </w:p>
          <w:p w:rsidR="00785B8F" w:rsidRDefault="00F136F4" w:rsidP="00320EF5">
            <w:pPr>
              <w:pStyle w:val="NoSpacing"/>
              <w:numPr>
                <w:ilvl w:val="0"/>
                <w:numId w:val="11"/>
              </w:numPr>
              <w:jc w:val="left"/>
              <w:rPr>
                <w:rFonts w:ascii="Arial" w:eastAsia="Calibri" w:hAnsi="Arial" w:cs="Arial"/>
                <w:sz w:val="24"/>
                <w:szCs w:val="24"/>
              </w:rPr>
            </w:pPr>
            <w:r>
              <w:rPr>
                <w:rFonts w:ascii="Arial" w:eastAsia="Calibri" w:hAnsi="Arial" w:cs="Arial"/>
                <w:sz w:val="24"/>
                <w:szCs w:val="24"/>
              </w:rPr>
              <w:t xml:space="preserve">Consider and approve the proposed Monitoring and Evaluation Framework; and </w:t>
            </w:r>
          </w:p>
          <w:p w:rsidR="00785B8F" w:rsidRDefault="00785B8F" w:rsidP="00785B8F">
            <w:pPr>
              <w:pStyle w:val="NoSpacing"/>
              <w:ind w:left="720"/>
              <w:jc w:val="left"/>
              <w:rPr>
                <w:rFonts w:ascii="Arial" w:eastAsia="Calibri" w:hAnsi="Arial" w:cs="Arial"/>
                <w:sz w:val="24"/>
                <w:szCs w:val="24"/>
              </w:rPr>
            </w:pPr>
          </w:p>
          <w:p w:rsidR="00F136F4" w:rsidRPr="00785B8F" w:rsidRDefault="00F136F4" w:rsidP="00320EF5">
            <w:pPr>
              <w:pStyle w:val="NoSpacing"/>
              <w:numPr>
                <w:ilvl w:val="0"/>
                <w:numId w:val="11"/>
              </w:numPr>
              <w:jc w:val="left"/>
              <w:rPr>
                <w:rFonts w:ascii="Arial" w:eastAsia="Calibri" w:hAnsi="Arial" w:cs="Arial"/>
                <w:sz w:val="24"/>
                <w:szCs w:val="24"/>
              </w:rPr>
            </w:pPr>
            <w:r w:rsidRPr="00785B8F">
              <w:rPr>
                <w:rFonts w:ascii="Arial" w:eastAsia="Calibri" w:hAnsi="Arial" w:cs="Arial"/>
                <w:sz w:val="24"/>
                <w:szCs w:val="24"/>
              </w:rPr>
              <w:t>Propose to the Chair of the LEP Board</w:t>
            </w:r>
            <w:r w:rsidR="00ED0EEE" w:rsidRPr="00785B8F">
              <w:rPr>
                <w:rFonts w:ascii="Arial" w:eastAsia="Calibri" w:hAnsi="Arial" w:cs="Arial"/>
                <w:sz w:val="24"/>
                <w:szCs w:val="24"/>
              </w:rPr>
              <w:t>,</w:t>
            </w:r>
            <w:r w:rsidRPr="00785B8F">
              <w:rPr>
                <w:rFonts w:ascii="Arial" w:eastAsia="Calibri" w:hAnsi="Arial" w:cs="Arial"/>
                <w:sz w:val="24"/>
                <w:szCs w:val="24"/>
              </w:rPr>
              <w:t xml:space="preserve"> at its next </w:t>
            </w:r>
            <w:r w:rsidR="00785B8F">
              <w:rPr>
                <w:rFonts w:ascii="Arial" w:eastAsia="Calibri" w:hAnsi="Arial" w:cs="Arial"/>
                <w:sz w:val="24"/>
                <w:szCs w:val="24"/>
              </w:rPr>
              <w:t xml:space="preserve">meeting </w:t>
            </w:r>
            <w:r w:rsidRPr="00785B8F">
              <w:rPr>
                <w:rFonts w:ascii="Arial" w:eastAsia="Calibri" w:hAnsi="Arial" w:cs="Arial"/>
                <w:sz w:val="24"/>
                <w:szCs w:val="24"/>
              </w:rPr>
              <w:t>on the 13</w:t>
            </w:r>
            <w:r w:rsidRPr="00785B8F">
              <w:rPr>
                <w:rFonts w:ascii="Arial" w:eastAsia="Calibri" w:hAnsi="Arial" w:cs="Arial"/>
                <w:sz w:val="24"/>
                <w:szCs w:val="24"/>
                <w:vertAlign w:val="superscript"/>
              </w:rPr>
              <w:t>th</w:t>
            </w:r>
            <w:r w:rsidRPr="00785B8F">
              <w:rPr>
                <w:rFonts w:ascii="Arial" w:eastAsia="Calibri" w:hAnsi="Arial" w:cs="Arial"/>
                <w:sz w:val="24"/>
                <w:szCs w:val="24"/>
              </w:rPr>
              <w:t xml:space="preserve"> September 2016, that future Board agendas contain </w:t>
            </w:r>
            <w:r w:rsidRPr="00785B8F">
              <w:rPr>
                <w:rStyle w:val="CharAttribute11"/>
                <w:szCs w:val="24"/>
              </w:rPr>
              <w:t>standing items on each of the LEP's key economic initiatives</w:t>
            </w:r>
            <w:r w:rsidR="00ED0EEE" w:rsidRPr="00785B8F">
              <w:rPr>
                <w:rStyle w:val="CharAttribute11"/>
                <w:szCs w:val="24"/>
              </w:rPr>
              <w:t>,</w:t>
            </w:r>
            <w:r w:rsidR="00785B8F">
              <w:rPr>
                <w:rStyle w:val="CharAttribute11"/>
                <w:szCs w:val="24"/>
              </w:rPr>
              <w:t xml:space="preserve"> to include at this stage</w:t>
            </w:r>
            <w:r w:rsidR="00ED0EEE" w:rsidRPr="00785B8F">
              <w:rPr>
                <w:rStyle w:val="CharAttribute11"/>
                <w:szCs w:val="24"/>
              </w:rPr>
              <w:t xml:space="preserve"> </w:t>
            </w:r>
            <w:r w:rsidRPr="00785B8F">
              <w:rPr>
                <w:rStyle w:val="CharAttribute11"/>
                <w:szCs w:val="24"/>
              </w:rPr>
              <w:t>the City Deal Programme, Enterprise Zone Programme, Growth Deal Programme, Boost Business Growth Hub and Growing Places Funding.</w:t>
            </w:r>
          </w:p>
          <w:p w:rsidR="00E76E7D" w:rsidRDefault="00E76E7D" w:rsidP="00320EF5">
            <w:pPr>
              <w:pStyle w:val="ParaAttribute4"/>
              <w:spacing w:line="249" w:lineRule="auto"/>
              <w:rPr>
                <w:rFonts w:ascii="Calibri" w:eastAsia="Calibri" w:hAnsi="Calibri"/>
              </w:rPr>
            </w:pPr>
          </w:p>
        </w:tc>
      </w:tr>
    </w:tbl>
    <w:p w:rsidR="00E76E7D" w:rsidRDefault="00E76E7D" w:rsidP="00320EF5">
      <w:pPr>
        <w:pStyle w:val="ParaAttribute1"/>
        <w:rPr>
          <w:rFonts w:ascii="Arial" w:eastAsia="Calibri" w:hAnsi="Arial"/>
        </w:rPr>
      </w:pPr>
    </w:p>
    <w:p w:rsidR="00E76E7D" w:rsidRDefault="008C1878" w:rsidP="00320EF5">
      <w:pPr>
        <w:pStyle w:val="ParaAttribute2"/>
        <w:spacing w:line="249" w:lineRule="auto"/>
        <w:rPr>
          <w:rFonts w:ascii="Arial" w:eastAsia="Calibri" w:hAnsi="Arial"/>
        </w:rPr>
      </w:pPr>
      <w:r>
        <w:rPr>
          <w:rStyle w:val="CharAttribute0"/>
          <w:szCs w:val="24"/>
        </w:rPr>
        <w:t xml:space="preserve">Background and Advice </w:t>
      </w:r>
    </w:p>
    <w:p w:rsidR="00E76E7D" w:rsidRDefault="00E76E7D" w:rsidP="00320EF5">
      <w:pPr>
        <w:pStyle w:val="ParaAttribute4"/>
        <w:spacing w:line="249" w:lineRule="auto"/>
        <w:rPr>
          <w:rFonts w:ascii="Calibri" w:eastAsia="Calibri" w:hAnsi="Calibri"/>
        </w:rPr>
      </w:pPr>
    </w:p>
    <w:p w:rsidR="00E76E7D" w:rsidRPr="00ED0EEE" w:rsidRDefault="00ED0EEE" w:rsidP="00320EF5">
      <w:pPr>
        <w:pStyle w:val="NoSpacing"/>
        <w:numPr>
          <w:ilvl w:val="0"/>
          <w:numId w:val="9"/>
        </w:numPr>
        <w:ind w:left="567" w:hanging="567"/>
        <w:jc w:val="left"/>
        <w:rPr>
          <w:rFonts w:ascii="Arial" w:hAnsi="Arial" w:cs="Arial"/>
          <w:b/>
          <w:sz w:val="24"/>
          <w:szCs w:val="24"/>
        </w:rPr>
      </w:pPr>
      <w:r w:rsidRPr="00ED0EEE">
        <w:rPr>
          <w:rFonts w:ascii="Arial" w:hAnsi="Arial" w:cs="Arial"/>
          <w:b/>
          <w:sz w:val="24"/>
          <w:szCs w:val="24"/>
        </w:rPr>
        <w:lastRenderedPageBreak/>
        <w:t>Development of a Monitoring and Evaluation Framework</w:t>
      </w:r>
    </w:p>
    <w:p w:rsidR="00ED0EEE" w:rsidRDefault="00ED0EEE" w:rsidP="00320EF5">
      <w:pPr>
        <w:pStyle w:val="NoSpacing"/>
        <w:jc w:val="left"/>
        <w:rPr>
          <w:rFonts w:ascii="Arial" w:hAnsi="Arial" w:cs="Arial"/>
          <w:sz w:val="24"/>
          <w:szCs w:val="24"/>
        </w:rPr>
      </w:pPr>
    </w:p>
    <w:p w:rsidR="00ED0EEE" w:rsidRDefault="00ED0EEE" w:rsidP="00320EF5">
      <w:pPr>
        <w:pStyle w:val="NoSpacing"/>
        <w:numPr>
          <w:ilvl w:val="1"/>
          <w:numId w:val="9"/>
        </w:numPr>
        <w:ind w:left="567" w:hanging="567"/>
        <w:jc w:val="left"/>
        <w:rPr>
          <w:rFonts w:ascii="Arial" w:hAnsi="Arial" w:cs="Arial"/>
          <w:sz w:val="24"/>
          <w:szCs w:val="24"/>
        </w:rPr>
      </w:pPr>
      <w:r>
        <w:rPr>
          <w:rFonts w:ascii="Arial" w:hAnsi="Arial" w:cs="Arial"/>
          <w:sz w:val="24"/>
          <w:szCs w:val="24"/>
        </w:rPr>
        <w:t>It is proposed that a Monitoring and Evaluation Frame work is developed for consideration at all meetings of the LEP's Performance Committee.</w:t>
      </w:r>
    </w:p>
    <w:p w:rsidR="00ED0EEE" w:rsidRDefault="00ED0EEE" w:rsidP="00320EF5">
      <w:pPr>
        <w:pStyle w:val="NoSpacing"/>
        <w:ind w:left="567"/>
        <w:jc w:val="left"/>
        <w:rPr>
          <w:rFonts w:ascii="Arial" w:hAnsi="Arial" w:cs="Arial"/>
          <w:sz w:val="24"/>
          <w:szCs w:val="24"/>
        </w:rPr>
      </w:pPr>
    </w:p>
    <w:p w:rsidR="00ED0EEE" w:rsidRDefault="00ED0EEE" w:rsidP="00320EF5">
      <w:pPr>
        <w:pStyle w:val="NoSpacing"/>
        <w:numPr>
          <w:ilvl w:val="1"/>
          <w:numId w:val="9"/>
        </w:numPr>
        <w:ind w:left="567" w:hanging="567"/>
        <w:jc w:val="left"/>
        <w:rPr>
          <w:rFonts w:ascii="Arial" w:hAnsi="Arial" w:cs="Arial"/>
          <w:sz w:val="24"/>
          <w:szCs w:val="24"/>
        </w:rPr>
      </w:pPr>
      <w:r>
        <w:rPr>
          <w:rFonts w:ascii="Arial" w:hAnsi="Arial" w:cs="Arial"/>
          <w:sz w:val="24"/>
          <w:szCs w:val="24"/>
        </w:rPr>
        <w:t xml:space="preserve">The Monitoring and Evaluation Framework </w:t>
      </w:r>
      <w:r w:rsidR="00320EF5">
        <w:rPr>
          <w:rFonts w:ascii="Arial" w:hAnsi="Arial" w:cs="Arial"/>
          <w:sz w:val="24"/>
          <w:szCs w:val="24"/>
        </w:rPr>
        <w:t>will be presented in a 'dashboard' format, capturing the following performance data for each of the LEP's key economic initiatives:</w:t>
      </w:r>
    </w:p>
    <w:p w:rsidR="00320EF5" w:rsidRDefault="00320EF5" w:rsidP="00320EF5">
      <w:pPr>
        <w:pStyle w:val="ListParagraph"/>
        <w:jc w:val="left"/>
        <w:rPr>
          <w:rFonts w:ascii="Arial" w:hAnsi="Arial" w:cs="Arial"/>
          <w:sz w:val="24"/>
          <w:szCs w:val="24"/>
        </w:rPr>
      </w:pPr>
    </w:p>
    <w:p w:rsidR="007F6632" w:rsidRPr="007F6632" w:rsidRDefault="007F6632" w:rsidP="00320EF5">
      <w:pPr>
        <w:pStyle w:val="NoSpacing"/>
        <w:numPr>
          <w:ilvl w:val="0"/>
          <w:numId w:val="10"/>
        </w:numPr>
        <w:jc w:val="left"/>
        <w:rPr>
          <w:rFonts w:ascii="Arial" w:hAnsi="Arial" w:cs="Arial"/>
          <w:sz w:val="24"/>
          <w:szCs w:val="24"/>
        </w:rPr>
      </w:pPr>
      <w:r w:rsidRPr="007F6632">
        <w:rPr>
          <w:rFonts w:ascii="Arial" w:hAnsi="Arial" w:cs="Arial"/>
          <w:b/>
          <w:sz w:val="24"/>
          <w:szCs w:val="24"/>
        </w:rPr>
        <w:t xml:space="preserve">Programme Targets to be achieved: </w:t>
      </w:r>
      <w:r w:rsidRPr="00785B8F">
        <w:rPr>
          <w:rFonts w:ascii="Arial" w:hAnsi="Arial" w:cs="Arial"/>
          <w:sz w:val="24"/>
          <w:szCs w:val="24"/>
        </w:rPr>
        <w:t>both</w:t>
      </w:r>
      <w:r>
        <w:rPr>
          <w:rFonts w:ascii="Arial" w:hAnsi="Arial" w:cs="Arial"/>
          <w:sz w:val="24"/>
          <w:szCs w:val="24"/>
        </w:rPr>
        <w:t xml:space="preserve"> financial and outcome/output level;</w:t>
      </w:r>
    </w:p>
    <w:p w:rsidR="00320EF5" w:rsidRDefault="00320EF5" w:rsidP="00320EF5">
      <w:pPr>
        <w:pStyle w:val="NoSpacing"/>
        <w:numPr>
          <w:ilvl w:val="0"/>
          <w:numId w:val="10"/>
        </w:numPr>
        <w:jc w:val="left"/>
        <w:rPr>
          <w:rFonts w:ascii="Arial" w:hAnsi="Arial" w:cs="Arial"/>
          <w:sz w:val="24"/>
          <w:szCs w:val="24"/>
        </w:rPr>
      </w:pPr>
      <w:r w:rsidRPr="00320EF5">
        <w:rPr>
          <w:rFonts w:ascii="Arial" w:hAnsi="Arial" w:cs="Arial"/>
          <w:b/>
          <w:sz w:val="24"/>
          <w:szCs w:val="24"/>
        </w:rPr>
        <w:t>Investment Profile:</w:t>
      </w:r>
      <w:r>
        <w:rPr>
          <w:rFonts w:ascii="Arial" w:hAnsi="Arial" w:cs="Arial"/>
          <w:sz w:val="24"/>
          <w:szCs w:val="24"/>
        </w:rPr>
        <w:t xml:space="preserve"> funding secured, funding committed and actual funding spent;</w:t>
      </w:r>
    </w:p>
    <w:p w:rsidR="00320EF5" w:rsidRDefault="00320EF5" w:rsidP="00320EF5">
      <w:pPr>
        <w:pStyle w:val="NoSpacing"/>
        <w:numPr>
          <w:ilvl w:val="0"/>
          <w:numId w:val="10"/>
        </w:numPr>
        <w:jc w:val="left"/>
        <w:rPr>
          <w:rFonts w:ascii="Arial" w:hAnsi="Arial" w:cs="Arial"/>
          <w:sz w:val="24"/>
          <w:szCs w:val="24"/>
        </w:rPr>
      </w:pPr>
      <w:r w:rsidRPr="00320EF5">
        <w:rPr>
          <w:rFonts w:ascii="Arial" w:hAnsi="Arial" w:cs="Arial"/>
          <w:b/>
          <w:sz w:val="24"/>
          <w:szCs w:val="24"/>
        </w:rPr>
        <w:t>Project Delivery:</w:t>
      </w:r>
      <w:r>
        <w:rPr>
          <w:rFonts w:ascii="Arial" w:hAnsi="Arial" w:cs="Arial"/>
          <w:sz w:val="24"/>
          <w:szCs w:val="24"/>
        </w:rPr>
        <w:t xml:space="preserve"> Projects contracted and projects completed;</w:t>
      </w:r>
    </w:p>
    <w:p w:rsidR="00320EF5" w:rsidRDefault="00320EF5" w:rsidP="00320EF5">
      <w:pPr>
        <w:pStyle w:val="NoSpacing"/>
        <w:numPr>
          <w:ilvl w:val="0"/>
          <w:numId w:val="10"/>
        </w:numPr>
        <w:jc w:val="left"/>
        <w:rPr>
          <w:rFonts w:ascii="Arial" w:hAnsi="Arial" w:cs="Arial"/>
          <w:sz w:val="24"/>
          <w:szCs w:val="24"/>
        </w:rPr>
      </w:pPr>
      <w:r w:rsidRPr="00320EF5">
        <w:rPr>
          <w:rFonts w:ascii="Arial" w:hAnsi="Arial" w:cs="Arial"/>
          <w:b/>
          <w:sz w:val="24"/>
          <w:szCs w:val="24"/>
        </w:rPr>
        <w:t>Project Outputs:</w:t>
      </w:r>
      <w:r>
        <w:rPr>
          <w:rFonts w:ascii="Arial" w:hAnsi="Arial" w:cs="Arial"/>
          <w:sz w:val="24"/>
          <w:szCs w:val="24"/>
        </w:rPr>
        <w:t xml:space="preserve"> National funding resources secured, Jobs created/safeguarded, housing units built, commercial floorspace developed, businesses created/safeguarded, learner outcomes achieved, private sector match, private sector leverage, private sector match funding and GVA generated.</w:t>
      </w:r>
    </w:p>
    <w:p w:rsidR="00320EF5" w:rsidRDefault="00320EF5" w:rsidP="00320EF5">
      <w:pPr>
        <w:pStyle w:val="ListParagraph"/>
        <w:rPr>
          <w:rFonts w:ascii="Arial" w:hAnsi="Arial" w:cs="Arial"/>
          <w:sz w:val="24"/>
          <w:szCs w:val="24"/>
        </w:rPr>
      </w:pPr>
    </w:p>
    <w:p w:rsidR="005958CA" w:rsidRPr="005958CA" w:rsidRDefault="007F6632" w:rsidP="00A37E38">
      <w:pPr>
        <w:pStyle w:val="NoSpacing"/>
        <w:numPr>
          <w:ilvl w:val="1"/>
          <w:numId w:val="9"/>
        </w:numPr>
        <w:ind w:left="567" w:hanging="567"/>
        <w:jc w:val="left"/>
        <w:rPr>
          <w:rFonts w:ascii="Arial" w:eastAsia="Calibri" w:hAnsi="Arial" w:cs="Arial"/>
          <w:sz w:val="24"/>
          <w:szCs w:val="24"/>
        </w:rPr>
      </w:pPr>
      <w:r w:rsidRPr="005958CA">
        <w:rPr>
          <w:rFonts w:ascii="Arial" w:hAnsi="Arial" w:cs="Arial"/>
          <w:sz w:val="24"/>
          <w:szCs w:val="24"/>
        </w:rPr>
        <w:t>This information will be presented in a dashboard format, including a RAG rating to identify performance and any issues or risks. This information will be presented for each initiative and will also be aggregated to provide a snap-shot on the overall performance against the LEP's total economic outcomes as identified in the SEP.</w:t>
      </w:r>
    </w:p>
    <w:p w:rsidR="005958CA" w:rsidRPr="005958CA" w:rsidRDefault="005958CA" w:rsidP="005958CA">
      <w:pPr>
        <w:pStyle w:val="NoSpacing"/>
        <w:ind w:left="567"/>
        <w:jc w:val="left"/>
        <w:rPr>
          <w:rFonts w:ascii="Arial" w:eastAsia="Calibri" w:hAnsi="Arial" w:cs="Arial"/>
          <w:sz w:val="24"/>
          <w:szCs w:val="24"/>
        </w:rPr>
      </w:pPr>
    </w:p>
    <w:p w:rsidR="005958CA" w:rsidRPr="005958CA" w:rsidRDefault="005958CA" w:rsidP="00A37E38">
      <w:pPr>
        <w:pStyle w:val="NoSpacing"/>
        <w:numPr>
          <w:ilvl w:val="1"/>
          <w:numId w:val="9"/>
        </w:numPr>
        <w:ind w:left="567" w:hanging="567"/>
        <w:jc w:val="left"/>
        <w:rPr>
          <w:rFonts w:ascii="Arial" w:eastAsia="Calibri" w:hAnsi="Arial" w:cs="Arial"/>
          <w:sz w:val="24"/>
          <w:szCs w:val="24"/>
        </w:rPr>
      </w:pPr>
      <w:r w:rsidRPr="005958CA">
        <w:rPr>
          <w:rFonts w:ascii="Arial" w:hAnsi="Arial" w:cs="Arial"/>
          <w:sz w:val="24"/>
          <w:szCs w:val="24"/>
        </w:rPr>
        <w:t xml:space="preserve">It is also proposed that each LEP Board agenda contains standing </w:t>
      </w:r>
      <w:r w:rsidRPr="005958CA">
        <w:rPr>
          <w:rStyle w:val="CharAttribute11"/>
          <w:szCs w:val="24"/>
        </w:rPr>
        <w:t xml:space="preserve">on each of the LEP's key economic initiatives, </w:t>
      </w:r>
      <w:r w:rsidR="00785B8F">
        <w:rPr>
          <w:rStyle w:val="CharAttribute11"/>
          <w:szCs w:val="24"/>
        </w:rPr>
        <w:t>to include at this stage,</w:t>
      </w:r>
      <w:r w:rsidRPr="005958CA">
        <w:rPr>
          <w:rStyle w:val="CharAttribute11"/>
          <w:szCs w:val="24"/>
        </w:rPr>
        <w:t xml:space="preserve"> the City Deal Programme, Enterprise Zone Programme, Growth Deal Programme, Boost Business Growth Hub and Growing Places Funding.</w:t>
      </w:r>
      <w:r>
        <w:rPr>
          <w:rStyle w:val="CharAttribute11"/>
          <w:szCs w:val="24"/>
        </w:rPr>
        <w:t xml:space="preserve"> Other initiatives will be included should any be secured</w:t>
      </w:r>
      <w:r w:rsidR="00785B8F">
        <w:rPr>
          <w:rStyle w:val="CharAttribute11"/>
          <w:szCs w:val="24"/>
        </w:rPr>
        <w:t xml:space="preserve"> in the future</w:t>
      </w:r>
      <w:r>
        <w:rPr>
          <w:rStyle w:val="CharAttribute11"/>
          <w:szCs w:val="24"/>
        </w:rPr>
        <w:t>. This will allow the Board to receive regular and concise updates on each of its key economic initiatives whilst also allowing the Performance Committee to undertake an in-depth review of each of the LEP's key economic initiatives based on Committee update reports and also the regular presentation of the Monitoring and Evaluation Framework.</w:t>
      </w:r>
      <w:bookmarkStart w:id="0" w:name="_GoBack"/>
      <w:bookmarkEnd w:id="0"/>
    </w:p>
    <w:p w:rsidR="007F6632" w:rsidRDefault="007F6632" w:rsidP="005958CA">
      <w:pPr>
        <w:pStyle w:val="NoSpacing"/>
        <w:rPr>
          <w:rFonts w:ascii="Arial" w:hAnsi="Arial" w:cs="Arial"/>
          <w:sz w:val="24"/>
          <w:szCs w:val="24"/>
        </w:rPr>
      </w:pPr>
    </w:p>
    <w:p w:rsidR="00320EF5" w:rsidRDefault="00320EF5" w:rsidP="00320EF5">
      <w:pPr>
        <w:pStyle w:val="ListParagraph"/>
        <w:rPr>
          <w:rFonts w:ascii="Arial" w:hAnsi="Arial" w:cs="Arial"/>
          <w:sz w:val="24"/>
          <w:szCs w:val="24"/>
        </w:rPr>
      </w:pPr>
    </w:p>
    <w:p w:rsidR="00320EF5" w:rsidRDefault="00320EF5" w:rsidP="00320EF5">
      <w:pPr>
        <w:pStyle w:val="NoSpacing"/>
        <w:ind w:left="567"/>
        <w:rPr>
          <w:rFonts w:ascii="Arial" w:hAnsi="Arial" w:cs="Arial"/>
          <w:sz w:val="24"/>
          <w:szCs w:val="24"/>
        </w:rPr>
      </w:pPr>
    </w:p>
    <w:p w:rsidR="00ED0EEE" w:rsidRDefault="00ED0EEE" w:rsidP="000D69CD">
      <w:pPr>
        <w:pStyle w:val="NoSpacing"/>
        <w:rPr>
          <w:rFonts w:ascii="Arial" w:hAnsi="Arial" w:cs="Arial"/>
          <w:sz w:val="24"/>
          <w:szCs w:val="24"/>
        </w:rPr>
      </w:pPr>
    </w:p>
    <w:p w:rsidR="00ED0EEE" w:rsidRPr="000D69CD" w:rsidRDefault="00ED0EEE" w:rsidP="000D69CD">
      <w:pPr>
        <w:pStyle w:val="NoSpacing"/>
        <w:rPr>
          <w:rFonts w:ascii="Arial" w:hAnsi="Arial" w:cs="Arial"/>
          <w:sz w:val="24"/>
          <w:szCs w:val="24"/>
        </w:rPr>
      </w:pPr>
    </w:p>
    <w:p w:rsidR="000D69CD" w:rsidRPr="000D69CD" w:rsidRDefault="000D69CD" w:rsidP="000D69CD">
      <w:pPr>
        <w:pStyle w:val="NoSpacing"/>
        <w:rPr>
          <w:rFonts w:ascii="Arial" w:hAnsi="Arial" w:cs="Arial"/>
          <w:sz w:val="24"/>
          <w:szCs w:val="24"/>
        </w:rPr>
      </w:pPr>
    </w:p>
    <w:sectPr w:rsidR="000D69CD" w:rsidRPr="000D69CD">
      <w:head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D1" w:rsidRDefault="008C1878">
      <w:r>
        <w:separator/>
      </w:r>
    </w:p>
  </w:endnote>
  <w:endnote w:type="continuationSeparator" w:id="0">
    <w:p w:rsidR="001250D1" w:rsidRDefault="008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 □□">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D1" w:rsidRDefault="008C1878">
      <w:r>
        <w:separator/>
      </w:r>
    </w:p>
  </w:footnote>
  <w:footnote w:type="continuationSeparator" w:id="0">
    <w:p w:rsidR="001250D1" w:rsidRDefault="008C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7D" w:rsidRDefault="008C1878">
    <w:pPr>
      <w:pStyle w:val="ParaAttribute1"/>
      <w:rPr>
        <w:rFonts w:ascii="Arial" w:eastAsia="Calibri" w:hAnsi="Arial"/>
      </w:rPr>
    </w:pPr>
    <w:r>
      <w:rPr>
        <w:rFonts w:ascii="Arial" w:eastAsia="Calibri" w:hAnsi="Arial"/>
        <w:noProof/>
        <w:sz w:val="24"/>
        <w:szCs w:val="24"/>
      </w:rPr>
      <w:drawing>
        <wp:anchor distT="0" distB="0" distL="114300" distR="114300" simplePos="0" relativeHeight="251624960" behindDoc="0" locked="0" layoutInCell="1" allowOverlap="1">
          <wp:simplePos x="0" y="0"/>
          <wp:positionH relativeFrom="column">
            <wp:posOffset>-762000</wp:posOffset>
          </wp:positionH>
          <wp:positionV relativeFrom="paragraph">
            <wp:posOffset>-248284</wp:posOffset>
          </wp:positionV>
          <wp:extent cx="2219325" cy="742950"/>
          <wp:effectExtent l="0" t="0" r="9525" b="0"/>
          <wp:wrapNone/>
          <wp:docPr id="4" name="Picture 1" descr="/var/mobile/Containers/Data/Application/B38CA706-D8F3-4FCC-9D3C-F4EDD55C0ED3/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B38CA706-D8F3-4FCC-9D3C-F4EDD55C0ED3/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9862699"/>
    <w:lvl w:ilvl="0" w:tplc="4028BC4E">
      <w:numFmt w:val="bullet"/>
      <w:lvlText w:val="·"/>
      <w:lvlJc w:val="left"/>
      <w:pPr>
        <w:ind w:left="720" w:hanging="360"/>
      </w:pPr>
      <w:rPr>
        <w:rFonts w:ascii="Symbol" w:eastAsia="Symbol" w:hAnsi="Symbol" w:hint="default"/>
        <w:b w:val="0"/>
        <w:color w:val="000000"/>
        <w:sz w:val="24"/>
        <w:szCs w:val="24"/>
      </w:rPr>
    </w:lvl>
    <w:lvl w:ilvl="1" w:tplc="AE265B30">
      <w:start w:val="1"/>
      <w:numFmt w:val="bullet"/>
      <w:lvlText w:val="o"/>
      <w:lvlJc w:val="left"/>
      <w:pPr>
        <w:ind w:left="1440" w:hanging="360"/>
      </w:pPr>
      <w:rPr>
        <w:rFonts w:ascii="Arial" w:eastAsia="Calibri" w:hAnsi="Arial" w:hint="default"/>
        <w:b/>
        <w:color w:val="000000"/>
        <w:sz w:val="24"/>
        <w:szCs w:val="24"/>
      </w:rPr>
    </w:lvl>
    <w:lvl w:ilvl="2" w:tplc="C136C8C0">
      <w:start w:val="1"/>
      <w:numFmt w:val="bullet"/>
      <w:lvlText w:val="§"/>
      <w:lvlJc w:val="left"/>
      <w:pPr>
        <w:ind w:left="2160" w:hanging="360"/>
      </w:pPr>
      <w:rPr>
        <w:rFonts w:ascii="Arial" w:eastAsia="Calibri" w:hAnsi="Arial" w:hint="default"/>
        <w:b/>
        <w:color w:val="000000"/>
        <w:sz w:val="24"/>
        <w:szCs w:val="24"/>
      </w:rPr>
    </w:lvl>
    <w:lvl w:ilvl="3" w:tplc="F51CD8E8">
      <w:start w:val="1"/>
      <w:numFmt w:val="bullet"/>
      <w:lvlText w:val="·"/>
      <w:lvlJc w:val="left"/>
      <w:pPr>
        <w:ind w:left="2880" w:hanging="360"/>
      </w:pPr>
      <w:rPr>
        <w:rFonts w:ascii="Arial" w:eastAsia="Calibri" w:hAnsi="Arial" w:hint="default"/>
        <w:b/>
        <w:color w:val="000000"/>
        <w:sz w:val="24"/>
        <w:szCs w:val="24"/>
      </w:rPr>
    </w:lvl>
    <w:lvl w:ilvl="4" w:tplc="DDBAA7A6">
      <w:start w:val="1"/>
      <w:numFmt w:val="bullet"/>
      <w:lvlText w:val="o"/>
      <w:lvlJc w:val="left"/>
      <w:pPr>
        <w:ind w:left="3600" w:hanging="360"/>
      </w:pPr>
      <w:rPr>
        <w:rFonts w:ascii="Arial" w:eastAsia="Calibri" w:hAnsi="Arial" w:hint="default"/>
        <w:b/>
        <w:color w:val="000000"/>
        <w:sz w:val="24"/>
        <w:szCs w:val="24"/>
      </w:rPr>
    </w:lvl>
    <w:lvl w:ilvl="5" w:tplc="FE743BA6">
      <w:start w:val="1"/>
      <w:numFmt w:val="bullet"/>
      <w:lvlText w:val="§"/>
      <w:lvlJc w:val="left"/>
      <w:pPr>
        <w:ind w:left="4320" w:hanging="360"/>
      </w:pPr>
      <w:rPr>
        <w:rFonts w:ascii="Arial" w:eastAsia="Calibri" w:hAnsi="Arial" w:hint="default"/>
        <w:b/>
        <w:color w:val="000000"/>
        <w:sz w:val="24"/>
        <w:szCs w:val="24"/>
      </w:rPr>
    </w:lvl>
    <w:lvl w:ilvl="6" w:tplc="B238A2D4">
      <w:start w:val="1"/>
      <w:numFmt w:val="bullet"/>
      <w:lvlText w:val="·"/>
      <w:lvlJc w:val="left"/>
      <w:pPr>
        <w:ind w:left="5040" w:hanging="360"/>
      </w:pPr>
      <w:rPr>
        <w:rFonts w:ascii="Arial" w:eastAsia="Calibri" w:hAnsi="Arial" w:hint="default"/>
        <w:b/>
        <w:color w:val="000000"/>
        <w:sz w:val="24"/>
        <w:szCs w:val="24"/>
      </w:rPr>
    </w:lvl>
    <w:lvl w:ilvl="7" w:tplc="09520358">
      <w:start w:val="1"/>
      <w:numFmt w:val="bullet"/>
      <w:lvlText w:val="o"/>
      <w:lvlJc w:val="left"/>
      <w:pPr>
        <w:ind w:left="5760" w:hanging="360"/>
      </w:pPr>
      <w:rPr>
        <w:rFonts w:ascii="Arial" w:eastAsia="Calibri" w:hAnsi="Arial" w:hint="default"/>
        <w:b/>
        <w:color w:val="000000"/>
        <w:sz w:val="24"/>
        <w:szCs w:val="24"/>
      </w:rPr>
    </w:lvl>
    <w:lvl w:ilvl="8" w:tplc="9878CABA">
      <w:start w:val="1"/>
      <w:numFmt w:val="bullet"/>
      <w:lvlText w:val="§"/>
      <w:lvlJc w:val="left"/>
      <w:pPr>
        <w:ind w:left="6480" w:hanging="360"/>
      </w:pPr>
      <w:rPr>
        <w:rFonts w:ascii="Arial" w:eastAsia="Calibri" w:hAnsi="Arial" w:hint="default"/>
        <w:b/>
        <w:color w:val="000000"/>
        <w:sz w:val="24"/>
        <w:szCs w:val="24"/>
      </w:rPr>
    </w:lvl>
  </w:abstractNum>
  <w:abstractNum w:abstractNumId="1" w15:restartNumberingAfterBreak="0">
    <w:nsid w:val="00000002"/>
    <w:multiLevelType w:val="multilevel"/>
    <w:tmpl w:val="78127742"/>
    <w:lvl w:ilvl="0">
      <w:start w:val="1"/>
      <w:numFmt w:val="decimal"/>
      <w:lvlText w:val="%1"/>
      <w:lvlJc w:val="left"/>
      <w:pPr>
        <w:ind w:left="570" w:hanging="570"/>
      </w:pPr>
      <w:rPr>
        <w:rFonts w:ascii="Arial" w:eastAsia="Calibri" w:hAnsi="Arial" w:hint="default"/>
        <w:b w:val="0"/>
        <w:color w:val="000000"/>
        <w:sz w:val="24"/>
        <w:szCs w:val="24"/>
      </w:rPr>
    </w:lvl>
    <w:lvl w:ilvl="1">
      <w:start w:val="1"/>
      <w:numFmt w:val="decimal"/>
      <w:lvlText w:val="%1.%2"/>
      <w:lvlJc w:val="left"/>
      <w:pPr>
        <w:ind w:left="570" w:hanging="570"/>
      </w:pPr>
      <w:rPr>
        <w:rFonts w:ascii="Arial" w:eastAsia="Calibri" w:hAnsi="Arial" w:hint="default"/>
        <w:b w:val="0"/>
        <w:color w:val="000000"/>
        <w:sz w:val="24"/>
        <w:szCs w:val="24"/>
      </w:rPr>
    </w:lvl>
    <w:lvl w:ilvl="2">
      <w:start w:val="1"/>
      <w:numFmt w:val="decimal"/>
      <w:lvlText w:val="%1.%2.%3"/>
      <w:lvlJc w:val="left"/>
      <w:pPr>
        <w:ind w:left="720" w:hanging="720"/>
      </w:pPr>
      <w:rPr>
        <w:rFonts w:ascii="Arial" w:eastAsia="Calibri" w:hAnsi="Arial" w:hint="default"/>
        <w:b/>
        <w:color w:val="000000"/>
        <w:sz w:val="24"/>
        <w:szCs w:val="24"/>
      </w:rPr>
    </w:lvl>
    <w:lvl w:ilvl="3">
      <w:start w:val="1"/>
      <w:numFmt w:val="decimal"/>
      <w:lvlText w:val="%1.%2.%3.%4"/>
      <w:lvlJc w:val="left"/>
      <w:pPr>
        <w:ind w:left="1080" w:hanging="1080"/>
      </w:pPr>
      <w:rPr>
        <w:rFonts w:ascii="Arial" w:eastAsia="Calibri" w:hAnsi="Arial" w:hint="default"/>
        <w:b/>
        <w:color w:val="000000"/>
        <w:sz w:val="24"/>
        <w:szCs w:val="24"/>
      </w:rPr>
    </w:lvl>
    <w:lvl w:ilvl="4">
      <w:start w:val="1"/>
      <w:numFmt w:val="decimal"/>
      <w:lvlText w:val="%1.%2.%3.%4.%5"/>
      <w:lvlJc w:val="left"/>
      <w:pPr>
        <w:ind w:left="1080" w:hanging="1080"/>
      </w:pPr>
      <w:rPr>
        <w:rFonts w:ascii="Arial" w:eastAsia="Calibri" w:hAnsi="Arial" w:hint="default"/>
        <w:b/>
        <w:color w:val="000000"/>
        <w:sz w:val="24"/>
        <w:szCs w:val="24"/>
      </w:rPr>
    </w:lvl>
    <w:lvl w:ilvl="5">
      <w:start w:val="1"/>
      <w:numFmt w:val="decimal"/>
      <w:lvlText w:val="%1.%2.%3.%4.%5.%6"/>
      <w:lvlJc w:val="left"/>
      <w:pPr>
        <w:ind w:left="1440" w:hanging="1440"/>
      </w:pPr>
      <w:rPr>
        <w:rFonts w:ascii="Arial" w:eastAsia="Calibri" w:hAnsi="Arial" w:hint="default"/>
        <w:b/>
        <w:color w:val="000000"/>
        <w:sz w:val="24"/>
        <w:szCs w:val="24"/>
      </w:rPr>
    </w:lvl>
    <w:lvl w:ilvl="6">
      <w:start w:val="1"/>
      <w:numFmt w:val="decimal"/>
      <w:lvlText w:val="%1.%2.%3.%4.%5.%6.%7"/>
      <w:lvlJc w:val="left"/>
      <w:pPr>
        <w:ind w:left="1440" w:hanging="1440"/>
      </w:pPr>
      <w:rPr>
        <w:rFonts w:ascii="Arial" w:eastAsia="Calibri" w:hAnsi="Arial" w:hint="default"/>
        <w:b/>
        <w:color w:val="000000"/>
        <w:sz w:val="24"/>
        <w:szCs w:val="24"/>
      </w:rPr>
    </w:lvl>
    <w:lvl w:ilvl="7">
      <w:start w:val="1"/>
      <w:numFmt w:val="decimal"/>
      <w:lvlText w:val="%1.%2.%3.%4.%5.%6.%7.%8"/>
      <w:lvlJc w:val="left"/>
      <w:pPr>
        <w:ind w:left="1800" w:hanging="1800"/>
      </w:pPr>
      <w:rPr>
        <w:rFonts w:ascii="Arial" w:eastAsia="Calibri" w:hAnsi="Arial" w:hint="default"/>
        <w:b/>
        <w:color w:val="000000"/>
        <w:sz w:val="24"/>
        <w:szCs w:val="24"/>
      </w:rPr>
    </w:lvl>
    <w:lvl w:ilvl="8">
      <w:start w:val="1"/>
      <w:numFmt w:val="decimal"/>
      <w:lvlText w:val="%1.%2.%3.%4.%5.%6.%7.%8.%9"/>
      <w:lvlJc w:val="left"/>
      <w:pPr>
        <w:ind w:left="1800" w:hanging="1800"/>
      </w:pPr>
      <w:rPr>
        <w:rFonts w:ascii="Arial" w:eastAsia="Calibri" w:hAnsi="Arial" w:hint="default"/>
        <w:b/>
        <w:color w:val="000000"/>
        <w:sz w:val="24"/>
        <w:szCs w:val="24"/>
      </w:rPr>
    </w:lvl>
  </w:abstractNum>
  <w:abstractNum w:abstractNumId="2" w15:restartNumberingAfterBreak="0">
    <w:nsid w:val="009D40B7"/>
    <w:multiLevelType w:val="hybridMultilevel"/>
    <w:tmpl w:val="931C1134"/>
    <w:lvl w:ilvl="0" w:tplc="1AA6D11A">
      <w:start w:val="1"/>
      <w:numFmt w:val="lowerRoman"/>
      <w:lvlText w:val="(%1)"/>
      <w:lvlJc w:val="left"/>
      <w:pPr>
        <w:ind w:left="1080" w:hanging="720"/>
      </w:pPr>
      <w:rPr>
        <w:rFonts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777E6"/>
    <w:multiLevelType w:val="hybridMultilevel"/>
    <w:tmpl w:val="215A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4210E"/>
    <w:multiLevelType w:val="hybridMultilevel"/>
    <w:tmpl w:val="B3C6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61E61"/>
    <w:multiLevelType w:val="hybridMultilevel"/>
    <w:tmpl w:val="CDB67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04DDE"/>
    <w:multiLevelType w:val="hybridMultilevel"/>
    <w:tmpl w:val="05637481"/>
    <w:lvl w:ilvl="0" w:tplc="99EEBF32">
      <w:numFmt w:val="bullet"/>
      <w:lvlText w:val="·"/>
      <w:lvlJc w:val="left"/>
      <w:pPr>
        <w:ind w:left="720" w:hanging="360"/>
      </w:pPr>
      <w:rPr>
        <w:rFonts w:ascii="Symbol" w:eastAsia="Symbol" w:hAnsi="Symbol" w:hint="default"/>
        <w:b w:val="0"/>
        <w:color w:val="000000"/>
        <w:sz w:val="24"/>
        <w:szCs w:val="24"/>
      </w:rPr>
    </w:lvl>
    <w:lvl w:ilvl="1" w:tplc="69485FB6">
      <w:start w:val="1"/>
      <w:numFmt w:val="bullet"/>
      <w:lvlText w:val="o"/>
      <w:lvlJc w:val="left"/>
      <w:pPr>
        <w:ind w:left="1440" w:hanging="360"/>
      </w:pPr>
      <w:rPr>
        <w:rFonts w:ascii="Arial" w:eastAsia="Calibri" w:hAnsi="Arial" w:hint="default"/>
        <w:b/>
        <w:color w:val="000000"/>
        <w:sz w:val="24"/>
        <w:szCs w:val="24"/>
      </w:rPr>
    </w:lvl>
    <w:lvl w:ilvl="2" w:tplc="461CF2BE">
      <w:start w:val="1"/>
      <w:numFmt w:val="bullet"/>
      <w:lvlText w:val="§"/>
      <w:lvlJc w:val="left"/>
      <w:pPr>
        <w:ind w:left="2160" w:hanging="360"/>
      </w:pPr>
      <w:rPr>
        <w:rFonts w:ascii="Arial" w:eastAsia="Calibri" w:hAnsi="Arial" w:hint="default"/>
        <w:b/>
        <w:color w:val="000000"/>
        <w:sz w:val="24"/>
        <w:szCs w:val="24"/>
      </w:rPr>
    </w:lvl>
    <w:lvl w:ilvl="3" w:tplc="F29006CE">
      <w:start w:val="1"/>
      <w:numFmt w:val="bullet"/>
      <w:lvlText w:val="·"/>
      <w:lvlJc w:val="left"/>
      <w:pPr>
        <w:ind w:left="2880" w:hanging="360"/>
      </w:pPr>
      <w:rPr>
        <w:rFonts w:ascii="Arial" w:eastAsia="Calibri" w:hAnsi="Arial" w:hint="default"/>
        <w:b/>
        <w:color w:val="000000"/>
        <w:sz w:val="24"/>
        <w:szCs w:val="24"/>
      </w:rPr>
    </w:lvl>
    <w:lvl w:ilvl="4" w:tplc="519058FA">
      <w:start w:val="1"/>
      <w:numFmt w:val="bullet"/>
      <w:lvlText w:val="o"/>
      <w:lvlJc w:val="left"/>
      <w:pPr>
        <w:ind w:left="3600" w:hanging="360"/>
      </w:pPr>
      <w:rPr>
        <w:rFonts w:ascii="Arial" w:eastAsia="Calibri" w:hAnsi="Arial" w:hint="default"/>
        <w:b/>
        <w:color w:val="000000"/>
        <w:sz w:val="24"/>
        <w:szCs w:val="24"/>
      </w:rPr>
    </w:lvl>
    <w:lvl w:ilvl="5" w:tplc="E1E0D07A">
      <w:start w:val="1"/>
      <w:numFmt w:val="bullet"/>
      <w:lvlText w:val="§"/>
      <w:lvlJc w:val="left"/>
      <w:pPr>
        <w:ind w:left="4320" w:hanging="360"/>
      </w:pPr>
      <w:rPr>
        <w:rFonts w:ascii="Arial" w:eastAsia="Calibri" w:hAnsi="Arial" w:hint="default"/>
        <w:b/>
        <w:color w:val="000000"/>
        <w:sz w:val="24"/>
        <w:szCs w:val="24"/>
      </w:rPr>
    </w:lvl>
    <w:lvl w:ilvl="6" w:tplc="7CB6D6CC">
      <w:start w:val="1"/>
      <w:numFmt w:val="bullet"/>
      <w:lvlText w:val="·"/>
      <w:lvlJc w:val="left"/>
      <w:pPr>
        <w:ind w:left="5040" w:hanging="360"/>
      </w:pPr>
      <w:rPr>
        <w:rFonts w:ascii="Arial" w:eastAsia="Calibri" w:hAnsi="Arial" w:hint="default"/>
        <w:b/>
        <w:color w:val="000000"/>
        <w:sz w:val="24"/>
        <w:szCs w:val="24"/>
      </w:rPr>
    </w:lvl>
    <w:lvl w:ilvl="7" w:tplc="F6EC4966">
      <w:start w:val="1"/>
      <w:numFmt w:val="bullet"/>
      <w:lvlText w:val="o"/>
      <w:lvlJc w:val="left"/>
      <w:pPr>
        <w:ind w:left="5760" w:hanging="360"/>
      </w:pPr>
      <w:rPr>
        <w:rFonts w:ascii="Arial" w:eastAsia="Calibri" w:hAnsi="Arial" w:hint="default"/>
        <w:b/>
        <w:color w:val="000000"/>
        <w:sz w:val="24"/>
        <w:szCs w:val="24"/>
      </w:rPr>
    </w:lvl>
    <w:lvl w:ilvl="8" w:tplc="4DB8FBB0">
      <w:start w:val="1"/>
      <w:numFmt w:val="bullet"/>
      <w:lvlText w:val="§"/>
      <w:lvlJc w:val="left"/>
      <w:pPr>
        <w:ind w:left="6480" w:hanging="360"/>
      </w:pPr>
      <w:rPr>
        <w:rFonts w:ascii="Arial" w:eastAsia="Calibri" w:hAnsi="Arial" w:hint="default"/>
        <w:b/>
        <w:color w:val="000000"/>
        <w:sz w:val="24"/>
        <w:szCs w:val="24"/>
      </w:rPr>
    </w:lvl>
  </w:abstractNum>
  <w:abstractNum w:abstractNumId="7" w15:restartNumberingAfterBreak="0">
    <w:nsid w:val="56EB4697"/>
    <w:multiLevelType w:val="hybridMultilevel"/>
    <w:tmpl w:val="AD9CD7C2"/>
    <w:lvl w:ilvl="0" w:tplc="03ECD05A">
      <w:start w:val="1"/>
      <w:numFmt w:val="lowerRoman"/>
      <w:lvlText w:val="(%1)"/>
      <w:lvlJc w:val="left"/>
      <w:pPr>
        <w:ind w:left="1080" w:hanging="720"/>
      </w:pPr>
      <w:rPr>
        <w:rFonts w:ascii="Arial" w:eastAsia="Calibri"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84E81"/>
    <w:multiLevelType w:val="hybridMultilevel"/>
    <w:tmpl w:val="28942B2A"/>
    <w:lvl w:ilvl="0" w:tplc="CE08830E">
      <w:start w:val="1"/>
      <w:numFmt w:val="lowerRoman"/>
      <w:lvlText w:val="(%1)"/>
      <w:lvlJc w:val="left"/>
      <w:pPr>
        <w:ind w:left="1080" w:hanging="720"/>
      </w:pPr>
      <w:rPr>
        <w:rFonts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F76069"/>
    <w:multiLevelType w:val="hybridMultilevel"/>
    <w:tmpl w:val="D9647A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EFD0DC6"/>
    <w:multiLevelType w:val="multilevel"/>
    <w:tmpl w:val="15DA91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1"/>
  </w:num>
  <w:num w:numId="4">
    <w:abstractNumId w:val="8"/>
  </w:num>
  <w:num w:numId="5">
    <w:abstractNumId w:val="4"/>
  </w:num>
  <w:num w:numId="6">
    <w:abstractNumId w:val="3"/>
  </w:num>
  <w:num w:numId="7">
    <w:abstractNumId w:val="2"/>
  </w:num>
  <w:num w:numId="8">
    <w:abstractNumId w:val="7"/>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7D"/>
    <w:rsid w:val="00034AA6"/>
    <w:rsid w:val="000D69CD"/>
    <w:rsid w:val="001250D1"/>
    <w:rsid w:val="00144990"/>
    <w:rsid w:val="00320EF5"/>
    <w:rsid w:val="005958CA"/>
    <w:rsid w:val="00721CD2"/>
    <w:rsid w:val="00785B8F"/>
    <w:rsid w:val="007F6632"/>
    <w:rsid w:val="008405A7"/>
    <w:rsid w:val="008C1878"/>
    <w:rsid w:val="0092133A"/>
    <w:rsid w:val="00B15143"/>
    <w:rsid w:val="00D9087C"/>
    <w:rsid w:val="00E76E7D"/>
    <w:rsid w:val="00ED0EEE"/>
    <w:rsid w:val="00F136F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DC4E71C4-2FFC-43C4-B0FB-3CA1EA95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5"/>
      <w:ind w:left="-710" w:firstLine="695"/>
    </w:pPr>
  </w:style>
  <w:style w:type="paragraph" w:customStyle="1" w:styleId="ParaAttribute1">
    <w:name w:val="ParaAttribute1"/>
    <w:pPr>
      <w:tabs>
        <w:tab w:val="center" w:pos="4513"/>
        <w:tab w:val="right" w:pos="9026"/>
      </w:tabs>
      <w:wordWrap w:val="0"/>
      <w:ind w:left="542" w:hanging="542"/>
    </w:pPr>
  </w:style>
  <w:style w:type="paragraph" w:customStyle="1" w:styleId="ParaAttribute2">
    <w:name w:val="ParaAttribute2"/>
    <w:pPr>
      <w:wordWrap w:val="0"/>
      <w:spacing w:after="5"/>
      <w:ind w:left="542" w:hanging="542"/>
    </w:pPr>
  </w:style>
  <w:style w:type="paragraph" w:customStyle="1" w:styleId="ParaAttribute3">
    <w:name w:val="ParaAttribute3"/>
    <w:pPr>
      <w:wordWrap w:val="0"/>
    </w:pPr>
  </w:style>
  <w:style w:type="paragraph" w:customStyle="1" w:styleId="ParaAttribute4">
    <w:name w:val="ParaAttribute4"/>
    <w:pPr>
      <w:widowControl w:val="0"/>
      <w:wordWrap w:val="0"/>
      <w:spacing w:after="5"/>
      <w:ind w:left="542" w:hanging="542"/>
    </w:pPr>
  </w:style>
  <w:style w:type="paragraph" w:customStyle="1" w:styleId="ParaAttribute5">
    <w:name w:val="ParaAttribute5"/>
    <w:pPr>
      <w:wordWrap w:val="0"/>
      <w:spacing w:after="5"/>
    </w:pPr>
  </w:style>
  <w:style w:type="paragraph" w:customStyle="1" w:styleId="ParaAttribute6">
    <w:name w:val="ParaAttribute6"/>
    <w:pPr>
      <w:wordWrap w:val="0"/>
      <w:spacing w:after="5"/>
      <w:ind w:left="542" w:right="-873" w:hanging="542"/>
    </w:pPr>
  </w:style>
  <w:style w:type="paragraph" w:customStyle="1" w:styleId="ParaAttribute7">
    <w:name w:val="ParaAttribute7"/>
    <w:pPr>
      <w:keepNext/>
      <w:keepLines/>
      <w:wordWrap w:val="0"/>
      <w:spacing w:before="40"/>
      <w:ind w:left="542" w:hanging="542"/>
    </w:pPr>
  </w:style>
  <w:style w:type="paragraph" w:customStyle="1" w:styleId="ParaAttribute8">
    <w:name w:val="ParaAttribute8"/>
    <w:pPr>
      <w:wordWrap w:val="0"/>
      <w:spacing w:after="5"/>
      <w:ind w:left="720" w:hanging="360"/>
    </w:pPr>
  </w:style>
  <w:style w:type="paragraph" w:customStyle="1" w:styleId="ParaAttribute9">
    <w:name w:val="ParaAttribute9"/>
    <w:pPr>
      <w:wordWrap w:val="0"/>
      <w:spacing w:after="5"/>
      <w:ind w:left="29" w:hanging="29"/>
    </w:pPr>
  </w:style>
  <w:style w:type="paragraph" w:customStyle="1" w:styleId="ParaAttribute10">
    <w:name w:val="ParaAttribute10"/>
    <w:pPr>
      <w:wordWrap w:val="0"/>
      <w:spacing w:after="5"/>
    </w:pPr>
  </w:style>
  <w:style w:type="paragraph" w:customStyle="1" w:styleId="ParaAttribute11">
    <w:name w:val="ParaAttribute11"/>
    <w:pPr>
      <w:wordWrap w:val="0"/>
      <w:spacing w:after="5"/>
      <w:ind w:left="570" w:hanging="570"/>
    </w:pPr>
  </w:style>
  <w:style w:type="paragraph" w:customStyle="1" w:styleId="ParaAttribute12">
    <w:name w:val="ParaAttribute12"/>
    <w:pPr>
      <w:wordWrap w:val="0"/>
      <w:spacing w:after="5"/>
      <w:ind w:left="570"/>
    </w:pPr>
  </w:style>
  <w:style w:type="paragraph" w:customStyle="1" w:styleId="ParaAttribute13">
    <w:name w:val="ParaAttribute13"/>
    <w:pPr>
      <w:wordWrap w:val="0"/>
      <w:spacing w:after="5"/>
      <w:ind w:left="720" w:hanging="542"/>
    </w:pPr>
  </w:style>
  <w:style w:type="paragraph" w:customStyle="1" w:styleId="ParaAttribute14">
    <w:name w:val="ParaAttribute14"/>
    <w:pPr>
      <w:tabs>
        <w:tab w:val="left" w:pos="1134"/>
      </w:tabs>
      <w:wordWrap w:val="0"/>
      <w:spacing w:after="5"/>
      <w:ind w:left="1701" w:hanging="567"/>
    </w:pPr>
  </w:style>
  <w:style w:type="paragraph" w:customStyle="1" w:styleId="ParaAttribute15">
    <w:name w:val="ParaAttribute15"/>
    <w:pPr>
      <w:wordWrap w:val="0"/>
      <w:spacing w:after="5"/>
      <w:ind w:left="567" w:hanging="567"/>
    </w:pPr>
  </w:style>
  <w:style w:type="paragraph" w:customStyle="1" w:styleId="ParaAttribute16">
    <w:name w:val="ParaAttribute16"/>
    <w:pPr>
      <w:widowControl w:val="0"/>
      <w:wordWrap w:val="0"/>
    </w:pPr>
  </w:style>
  <w:style w:type="character" w:customStyle="1" w:styleId="CharAttribute0">
    <w:name w:val="CharAttribute0"/>
    <w:rPr>
      <w:rFonts w:ascii="Arial" w:eastAsia="Calibri"/>
      <w:b/>
      <w:sz w:val="24"/>
    </w:rPr>
  </w:style>
  <w:style w:type="character" w:customStyle="1" w:styleId="CharAttribute1">
    <w:name w:val="CharAttribute1"/>
    <w:rPr>
      <w:rFonts w:ascii="Arial" w:eastAsia="Calibri"/>
      <w:sz w:val="24"/>
    </w:rPr>
  </w:style>
  <w:style w:type="character" w:customStyle="1" w:styleId="CharAttribute2">
    <w:name w:val="CharAttribute2"/>
    <w:rPr>
      <w:rFonts w:ascii="Arial" w:eastAsia="Calibri"/>
      <w:b/>
      <w:sz w:val="24"/>
    </w:rPr>
  </w:style>
  <w:style w:type="character" w:customStyle="1" w:styleId="CharAttribute3">
    <w:name w:val="CharAttribute3"/>
    <w:rPr>
      <w:rFonts w:ascii="Arial" w:eastAsia="Times New Roman"/>
      <w:b/>
      <w:color w:val="000000"/>
      <w:sz w:val="24"/>
    </w:rPr>
  </w:style>
  <w:style w:type="character" w:customStyle="1" w:styleId="CharAttribute4">
    <w:name w:val="CharAttribute4"/>
    <w:rPr>
      <w:rFonts w:ascii="Arial" w:eastAsia="Calibri"/>
      <w:sz w:val="24"/>
      <w:vertAlign w:val="superscript"/>
    </w:rPr>
  </w:style>
  <w:style w:type="character" w:customStyle="1" w:styleId="CharAttribute5">
    <w:name w:val="CharAttribute5"/>
    <w:rPr>
      <w:rFonts w:ascii="Calibri" w:eastAsia="Calibri"/>
      <w:sz w:val="22"/>
    </w:rPr>
  </w:style>
  <w:style w:type="character" w:customStyle="1" w:styleId="CharAttribute6">
    <w:name w:val="CharAttribute6"/>
    <w:rPr>
      <w:rFonts w:ascii="Arial" w:eastAsia="Calibri"/>
      <w:b/>
      <w:color w:val="0563C1"/>
      <w:sz w:val="24"/>
      <w:u w:val="single"/>
    </w:rPr>
  </w:style>
  <w:style w:type="character" w:customStyle="1" w:styleId="CharAttribute7">
    <w:name w:val="CharAttribute7"/>
    <w:rPr>
      <w:rFonts w:ascii="Times New Roman" w:eastAsia="Times New Roman"/>
    </w:rPr>
  </w:style>
  <w:style w:type="character" w:customStyle="1" w:styleId="CharAttribute8">
    <w:name w:val="CharAttribute8"/>
    <w:rPr>
      <w:rFonts w:ascii="Arial" w:eastAsia="Calibri"/>
      <w:b/>
      <w:color w:val="0563C1"/>
      <w:sz w:val="24"/>
      <w:u w:val="single"/>
    </w:rPr>
  </w:style>
  <w:style w:type="character" w:customStyle="1" w:styleId="CharAttribute9">
    <w:name w:val="CharAttribute9"/>
    <w:rPr>
      <w:rFonts w:ascii="Arial" w:eastAsia="Times New Roman"/>
      <w:b/>
      <w:color w:val="000000"/>
      <w:sz w:val="24"/>
    </w:rPr>
  </w:style>
  <w:style w:type="character" w:customStyle="1" w:styleId="CharAttribute10">
    <w:name w:val="CharAttribute10"/>
    <w:rPr>
      <w:rFonts w:ascii="Arial" w:eastAsia="Arial"/>
      <w:b/>
      <w:color w:val="000000"/>
      <w:sz w:val="24"/>
    </w:rPr>
  </w:style>
  <w:style w:type="character" w:customStyle="1" w:styleId="CharAttribute11">
    <w:name w:val="CharAttribute11"/>
    <w:rPr>
      <w:rFonts w:ascii="Arial" w:eastAsia="Calibri"/>
      <w:color w:val="000000"/>
      <w:sz w:val="24"/>
    </w:rPr>
  </w:style>
  <w:style w:type="character" w:customStyle="1" w:styleId="CharAttribute12">
    <w:name w:val="CharAttribute12"/>
    <w:rPr>
      <w:rFonts w:ascii="Arial" w:eastAsia="Calibri"/>
      <w:color w:val="000000"/>
      <w:sz w:val="24"/>
      <w:vertAlign w:val="superscript"/>
    </w:rPr>
  </w:style>
  <w:style w:type="character" w:customStyle="1" w:styleId="CharAttribute13">
    <w:name w:val="CharAttribute13"/>
    <w:rPr>
      <w:rFonts w:ascii="Symbol" w:eastAsia="Symbol"/>
      <w:color w:val="000000"/>
      <w:sz w:val="24"/>
    </w:rPr>
  </w:style>
  <w:style w:type="character" w:customStyle="1" w:styleId="CharAttribute14">
    <w:name w:val="CharAttribute14"/>
    <w:rPr>
      <w:rFonts w:ascii="Symbol" w:eastAsia="Symbol"/>
      <w:color w:val="000000"/>
      <w:sz w:val="24"/>
    </w:rPr>
  </w:style>
  <w:style w:type="character" w:customStyle="1" w:styleId="CharAttribute15">
    <w:name w:val="CharAttribute15"/>
    <w:rPr>
      <w:rFonts w:ascii="Arial" w:eastAsia="Calibri"/>
      <w:sz w:val="24"/>
    </w:rPr>
  </w:style>
  <w:style w:type="character" w:customStyle="1" w:styleId="CharAttribute16">
    <w:name w:val="CharAttribute16"/>
    <w:rPr>
      <w:rFonts w:ascii="Arial" w:eastAsia="Calibri"/>
      <w:b/>
      <w:sz w:val="24"/>
    </w:rPr>
  </w:style>
  <w:style w:type="character" w:customStyle="1" w:styleId="CharAttribute17">
    <w:name w:val="CharAttribute17"/>
    <w:rPr>
      <w:rFonts w:ascii="Arial" w:eastAsia="Calibri"/>
      <w:sz w:val="24"/>
    </w:rPr>
  </w:style>
  <w:style w:type="character" w:customStyle="1" w:styleId="CharAttribute18">
    <w:name w:val="CharAttribute18"/>
    <w:rPr>
      <w:rFonts w:ascii="Arial" w:eastAsia="Calibri"/>
      <w:color w:val="000000"/>
      <w:sz w:val="24"/>
    </w:rPr>
  </w:style>
  <w:style w:type="paragraph" w:styleId="NoSpacing">
    <w:name w:val="No Spacing"/>
    <w:uiPriority w:val="1"/>
    <w:qFormat/>
    <w:rsid w:val="00034AA6"/>
    <w:pPr>
      <w:widowControl w:val="0"/>
      <w:wordWrap w:val="0"/>
      <w:autoSpaceDE w:val="0"/>
      <w:autoSpaceDN w:val="0"/>
      <w:jc w:val="both"/>
    </w:pPr>
    <w:rPr>
      <w:rFonts w:ascii="Batang"/>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ryn.molloy@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2874</Characters>
  <Application>Microsoft Office Word</Application>
  <DocSecurity>4</DocSecurity>
  <Lines>23</Lines>
  <Paragraphs>6</Paragraphs>
  <MMClips>0</MMClip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Title text</vt:lpstr>
    </vt:vector>
  </TitlesOfParts>
  <Company>BT Lancashire Services Limited</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Molloy, Kathryn</dc:creator>
  <cp:lastModifiedBy>Milroy, Andy</cp:lastModifiedBy>
  <cp:revision>2</cp:revision>
  <dcterms:created xsi:type="dcterms:W3CDTF">2016-09-01T10:48:00Z</dcterms:created>
  <dcterms:modified xsi:type="dcterms:W3CDTF">2016-09-01T10:48:00Z</dcterms:modified>
</cp:coreProperties>
</file>